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PROGRAMMAZIONE  DI LEGISLAZIONE SANITARIA </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DELLA PROFESSORESSA MARIA TERESA ALFANO</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ANNO SCOLASTICO 2023/24 NELLA CLASSE VL</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Costituzione. Le diverse letture della Costituzione.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dottrina positivista del diritto. La dottrina della costituzione decisionista e quella normativa.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concezione materiale della Costituzione.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Costituzione come tavola di valori.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diritti fondamentali nella giurisprudenza della Corte costituzionale.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 Stato e ordinamento giuridico.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Distinzioni tra lo Stato persona e lo Stato ordinamento.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caratteri differenziali dello Stato ordinamento.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fonti del diritto.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Tipologia delle fonti normative.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L’ordine delle fonti e tra le fonti.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L’interpretazione.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diritto soggettivo.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sanità pubblica.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tutela della salute come diritto pretensivo o diritto alla prestazione.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Art.32 Cost.: Natura pretensiva e natura oppositiva della norma.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situazione giuridica di natura oppositiva dell’art.32 Cost.: Sentenza della Corte costituzionale n.184 del 1986 e danno biologico.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L’assistenza sanitaria della collettività e la nascita del sistema sanitario pubblico.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situazione giuridica di natura pretensiva dell’art.32 Cost.</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trattamenti sanitari obbligatori. Profili di legittimità costituzionale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prima riforma sanitaria ex legge n.833 del 1978.</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principi della riforma sanitaria introdotta con la legge n.833 del 1978.</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Universalità, eguaglianza e globalità.</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Gli obiettivi di salute nella legge n.833 del 1978.</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L’istituzione della USL come strumento operativo dei Comuni e la sua natura democratica.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Gli organi della USL.</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seconda riforma sanitaria ex Decreto legislativo n.502 del 1992: L’introduzione dei LEA e l’aziendalizzazione delle ASL.</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Monitoraggio ed appropriatezza dei LEA.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riforma ter ed il passaggio alle Regioni della responsabilità del servizio.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Natura giuridica della ASL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L’adozione dello Statuto.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Studio dello Statuto della ASL Nord Ovest Toscana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Gli organi della Asl: Nomina, responsabilità e valutazione del direttore generale.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funzioni dello Stato.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tipologie di prestazioni ed i LEA. Analisi DPCM sui LEA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L’accreditamento dei privati come servizio pubblico.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finanziamento del servizio e gli utenti del servizio.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legge n.40 del 2004 in materia di procreazione medicalmente assistita e profili di legittimità costituzionale.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Studio delle sentenze della Corte costituzionale sull’illegittimità costituzionale della legge n.40 del 2004.</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relazione di cura, il consenso informato e l’istituzione delle DAT nella legge n. 219 del 2017..</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libertà di interrompere i trattamenti sanitari: Punti di convergenza e differenze con la pratica dell’eutanasia.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Studio della sentenza della Corte costituzionale n. 242 del 2019 sull’illegittimità costituzionale dell’art.580 c.p. in materia di aiuto al suicidio in contrasto con il principio di libertà di autodeterminazione riconosciuto al singolo.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Lettura di alcuni interventi dei parlamentari dell’Assemblea costituente sul diritto alla salute.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Competenze:</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Gli studenti a seguito dello studio degli argomenti succitati dovranno essere in grado di riconoscere i principi ispiratori della Riforma sanitaria attuata con la legge n.833 del 1978 ed emanata in attuazione del precetto costituzionale di cui all’art.32 Cost..</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Dovranno riconoscere le riforme successive e saper argomentare sulle ragioni che hanno indotto il legislatore ad emanarle e cogliere le novità con esse introdotte, con particolare riguardo al condizionamento di carattere finanziario del diritto alla salute.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Dovranno riconoscere i LEA ed individuare lo Statuto della propria ASL di riferimento.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Dovranno saper argomentare sulle questioni affrontate nelle sentenze della Corte costituzionale in tema di libertà di autodeterminazione in materia di salute ed interruzione dei trattamenti sanitari.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OBIETTIVI MINIMI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Gli obiettivi minimi richiesti sono contenuti nei seguenti argomenti: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Costituzione. Le diverse letture della Costituzione.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Costituzione come tavola di valori.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diritti fondamentali nella giurisprudenza della Corte costituzionale.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 Stato e ordinamento giuridico.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sanità pubblica.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tutela della salute come diritto pretensivo o diritto alla prestazione.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Art.32 Cost.: Natura pretensiva e natura oppositiva della norma.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prima riforma sanitaria ex legge n.833 del 1978.</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principi della riforma sanitaria introdotta con la legge n.833 del 1978.</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Universalità, eguaglianza e globalità.</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Gli obiettivi di salute nella legge n.833 del 1978.</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L’istituzione della USL come strumento operativo dei Comuni e la sua natura democratica.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Gli organi della USL.</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seconda riforma sanitaria ex Decreto legislativo n.502 del 1992: L’introduzione dei LEA e l’aziendalizzazione delle ASL.</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riforma ter ed il passaggio alle Regioni della responsabilità del servizio.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Studio dello Statuto della ASL Nord Ovest Toscana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tipologie di prestazioni ed i LEA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L’accreditamento dei privati come servizio pubblico.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finanziamento del servizio e gli utenti del servizio.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L’accreditamento dei privati come servizio pubblico.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 finanziamento del servizio e gli utenti del servizio.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Prof.ssa Maria Teresa Alfano</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